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78" w:rsidRPr="00610F78" w:rsidRDefault="00610F78" w:rsidP="00610F78">
      <w:pPr>
        <w:widowControl/>
        <w:jc w:val="center"/>
        <w:textAlignment w:val="bottom"/>
        <w:rPr>
          <w:rFonts w:ascii="細明體" w:eastAsia="細明體" w:hAnsi="細明體" w:cs="新細明體"/>
          <w:color w:val="000000"/>
          <w:kern w:val="0"/>
          <w:sz w:val="27"/>
          <w:szCs w:val="27"/>
        </w:rPr>
      </w:pPr>
      <w:r w:rsidRPr="00610F78">
        <w:rPr>
          <w:rFonts w:ascii="標楷體" w:eastAsia="標楷體" w:hAnsi="標楷體" w:cs="新細明體" w:hint="eastAsia"/>
          <w:color w:val="000000"/>
          <w:kern w:val="0"/>
          <w:sz w:val="36"/>
          <w:szCs w:val="36"/>
        </w:rPr>
        <w:t>國立臺北大學公共事務學院自然資源與環境管理研究所</w:t>
      </w:r>
      <w:r w:rsidRPr="00610F78">
        <w:rPr>
          <w:rFonts w:ascii="全真楷書" w:eastAsia="全真楷書" w:hAnsi="細明體" w:cs="新細明體" w:hint="eastAsia"/>
          <w:color w:val="000000"/>
          <w:kern w:val="0"/>
          <w:sz w:val="36"/>
          <w:szCs w:val="36"/>
        </w:rPr>
        <w:br/>
      </w:r>
      <w:r w:rsidRPr="00610F78">
        <w:rPr>
          <w:rFonts w:ascii="標楷體" w:eastAsia="標楷體" w:hAnsi="標楷體" w:cs="新細明體" w:hint="eastAsia"/>
          <w:color w:val="000000"/>
          <w:kern w:val="0"/>
          <w:sz w:val="36"/>
          <w:szCs w:val="36"/>
        </w:rPr>
        <w:t>學位論文指導辦法</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83</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7</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6</w:t>
      </w:r>
      <w:r w:rsidRPr="00610F78">
        <w:rPr>
          <w:rFonts w:ascii="標楷體" w:eastAsia="標楷體" w:hAnsi="標楷體" w:cs="新細明體" w:hint="eastAsia"/>
          <w:color w:val="000000"/>
          <w:kern w:val="0"/>
          <w:sz w:val="20"/>
          <w:szCs w:val="20"/>
        </w:rPr>
        <w:t>日所務會議通過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84</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7</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20</w:t>
      </w:r>
      <w:r w:rsidRPr="00610F78">
        <w:rPr>
          <w:rFonts w:ascii="標楷體" w:eastAsia="標楷體" w:hAnsi="標楷體" w:cs="新細明體" w:hint="eastAsia"/>
          <w:color w:val="000000"/>
          <w:kern w:val="0"/>
          <w:sz w:val="20"/>
          <w:szCs w:val="20"/>
        </w:rPr>
        <w:t>日所務會議修正通過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84</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9</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15</w:t>
      </w:r>
      <w:r w:rsidRPr="00610F78">
        <w:rPr>
          <w:rFonts w:ascii="標楷體" w:eastAsia="標楷體" w:hAnsi="標楷體" w:cs="新細明體" w:hint="eastAsia"/>
          <w:color w:val="000000"/>
          <w:kern w:val="0"/>
          <w:sz w:val="20"/>
          <w:szCs w:val="20"/>
        </w:rPr>
        <w:t>日所務會議修正通過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84</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10</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3</w:t>
      </w:r>
      <w:r w:rsidRPr="00610F78">
        <w:rPr>
          <w:rFonts w:ascii="標楷體" w:eastAsia="標楷體" w:hAnsi="標楷體" w:cs="新細明體" w:hint="eastAsia"/>
          <w:color w:val="000000"/>
          <w:kern w:val="0"/>
          <w:sz w:val="20"/>
          <w:szCs w:val="20"/>
        </w:rPr>
        <w:t>日所務會議修正通過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85</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5</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7</w:t>
      </w:r>
      <w:r w:rsidRPr="00610F78">
        <w:rPr>
          <w:rFonts w:ascii="標楷體" w:eastAsia="標楷體" w:hAnsi="標楷體" w:cs="新細明體" w:hint="eastAsia"/>
          <w:color w:val="000000"/>
          <w:kern w:val="0"/>
          <w:sz w:val="20"/>
          <w:szCs w:val="20"/>
        </w:rPr>
        <w:t>日所務會議修正通過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85</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12</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18</w:t>
      </w:r>
      <w:r w:rsidRPr="00610F78">
        <w:rPr>
          <w:rFonts w:ascii="標楷體" w:eastAsia="標楷體" w:hAnsi="標楷體" w:cs="新細明體" w:hint="eastAsia"/>
          <w:color w:val="000000"/>
          <w:kern w:val="0"/>
          <w:sz w:val="20"/>
          <w:szCs w:val="20"/>
        </w:rPr>
        <w:t>日所務會議修正通過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88</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7</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14</w:t>
      </w:r>
      <w:r w:rsidRPr="00610F78">
        <w:rPr>
          <w:rFonts w:ascii="標楷體" w:eastAsia="標楷體" w:hAnsi="標楷體" w:cs="新細明體" w:hint="eastAsia"/>
          <w:color w:val="000000"/>
          <w:kern w:val="0"/>
          <w:sz w:val="20"/>
          <w:szCs w:val="20"/>
        </w:rPr>
        <w:t>日所務會議修正通過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89</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4</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19</w:t>
      </w:r>
      <w:r w:rsidRPr="00610F78">
        <w:rPr>
          <w:rFonts w:ascii="標楷體" w:eastAsia="標楷體" w:hAnsi="標楷體" w:cs="新細明體" w:hint="eastAsia"/>
          <w:color w:val="000000"/>
          <w:kern w:val="0"/>
          <w:sz w:val="20"/>
          <w:szCs w:val="20"/>
        </w:rPr>
        <w:t>日北大第</w:t>
      </w:r>
      <w:r w:rsidRPr="00610F78">
        <w:rPr>
          <w:rFonts w:ascii="Times New Roman" w:eastAsia="細明體" w:hAnsi="Times New Roman" w:cs="Times New Roman"/>
          <w:color w:val="000000"/>
          <w:kern w:val="0"/>
          <w:sz w:val="20"/>
          <w:szCs w:val="20"/>
        </w:rPr>
        <w:t>6</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89</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9</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19</w:t>
      </w:r>
      <w:r w:rsidRPr="00610F78">
        <w:rPr>
          <w:rFonts w:ascii="標楷體" w:eastAsia="標楷體" w:hAnsi="標楷體" w:cs="新細明體" w:hint="eastAsia"/>
          <w:color w:val="000000"/>
          <w:kern w:val="0"/>
          <w:sz w:val="20"/>
          <w:szCs w:val="20"/>
        </w:rPr>
        <w:t>日北大第</w:t>
      </w:r>
      <w:r w:rsidRPr="00610F78">
        <w:rPr>
          <w:rFonts w:ascii="Times New Roman" w:eastAsia="細明體" w:hAnsi="Times New Roman" w:cs="Times New Roman"/>
          <w:color w:val="000000"/>
          <w:kern w:val="0"/>
          <w:sz w:val="20"/>
          <w:szCs w:val="20"/>
        </w:rPr>
        <w:t>13</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90</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3</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6</w:t>
      </w:r>
      <w:r w:rsidRPr="00610F78">
        <w:rPr>
          <w:rFonts w:ascii="標楷體" w:eastAsia="標楷體" w:hAnsi="標楷體" w:cs="新細明體" w:hint="eastAsia"/>
          <w:color w:val="000000"/>
          <w:kern w:val="0"/>
          <w:sz w:val="20"/>
          <w:szCs w:val="20"/>
        </w:rPr>
        <w:t>日北大第</w:t>
      </w:r>
      <w:r w:rsidRPr="00610F78">
        <w:rPr>
          <w:rFonts w:ascii="Times New Roman" w:eastAsia="細明體" w:hAnsi="Times New Roman" w:cs="Times New Roman"/>
          <w:color w:val="000000"/>
          <w:kern w:val="0"/>
          <w:sz w:val="20"/>
          <w:szCs w:val="20"/>
        </w:rPr>
        <w:t>21</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90</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8</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7</w:t>
      </w:r>
      <w:r w:rsidRPr="00610F78">
        <w:rPr>
          <w:rFonts w:ascii="標楷體" w:eastAsia="標楷體" w:hAnsi="標楷體" w:cs="新細明體" w:hint="eastAsia"/>
          <w:color w:val="000000"/>
          <w:kern w:val="0"/>
          <w:sz w:val="20"/>
          <w:szCs w:val="20"/>
        </w:rPr>
        <w:t>日北大第</w:t>
      </w:r>
      <w:r w:rsidRPr="00610F78">
        <w:rPr>
          <w:rFonts w:ascii="Times New Roman" w:eastAsia="細明體" w:hAnsi="Times New Roman" w:cs="Times New Roman"/>
          <w:color w:val="000000"/>
          <w:kern w:val="0"/>
          <w:sz w:val="20"/>
          <w:szCs w:val="20"/>
        </w:rPr>
        <w:t>28</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91</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1</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16</w:t>
      </w:r>
      <w:r w:rsidRPr="00610F78">
        <w:rPr>
          <w:rFonts w:ascii="標楷體" w:eastAsia="標楷體" w:hAnsi="標楷體" w:cs="新細明體" w:hint="eastAsia"/>
          <w:color w:val="000000"/>
          <w:kern w:val="0"/>
          <w:sz w:val="20"/>
          <w:szCs w:val="20"/>
        </w:rPr>
        <w:t>日北大第</w:t>
      </w:r>
      <w:r w:rsidRPr="00610F78">
        <w:rPr>
          <w:rFonts w:ascii="Times New Roman" w:eastAsia="細明體" w:hAnsi="Times New Roman" w:cs="Times New Roman"/>
          <w:color w:val="000000"/>
          <w:kern w:val="0"/>
          <w:sz w:val="20"/>
          <w:szCs w:val="20"/>
        </w:rPr>
        <w:t>32</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92</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1</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14</w:t>
      </w:r>
      <w:r w:rsidRPr="00610F78">
        <w:rPr>
          <w:rFonts w:ascii="標楷體" w:eastAsia="標楷體" w:hAnsi="標楷體" w:cs="新細明體" w:hint="eastAsia"/>
          <w:color w:val="000000"/>
          <w:kern w:val="0"/>
          <w:sz w:val="20"/>
          <w:szCs w:val="20"/>
        </w:rPr>
        <w:t>日北大第</w:t>
      </w:r>
      <w:r w:rsidRPr="00610F78">
        <w:rPr>
          <w:rFonts w:ascii="Times New Roman" w:eastAsia="細明體" w:hAnsi="Times New Roman" w:cs="Times New Roman"/>
          <w:color w:val="000000"/>
          <w:kern w:val="0"/>
          <w:sz w:val="20"/>
          <w:szCs w:val="20"/>
        </w:rPr>
        <w:t>44</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92</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3</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11</w:t>
      </w:r>
      <w:r w:rsidRPr="00610F78">
        <w:rPr>
          <w:rFonts w:ascii="標楷體" w:eastAsia="標楷體" w:hAnsi="標楷體" w:cs="新細明體" w:hint="eastAsia"/>
          <w:color w:val="000000"/>
          <w:kern w:val="0"/>
          <w:sz w:val="20"/>
          <w:szCs w:val="20"/>
        </w:rPr>
        <w:t>日北大第</w:t>
      </w:r>
      <w:r w:rsidRPr="00610F78">
        <w:rPr>
          <w:rFonts w:ascii="Times New Roman" w:eastAsia="細明體" w:hAnsi="Times New Roman" w:cs="Times New Roman"/>
          <w:color w:val="000000"/>
          <w:kern w:val="0"/>
          <w:sz w:val="20"/>
          <w:szCs w:val="20"/>
        </w:rPr>
        <w:t>46</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92</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12</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16</w:t>
      </w:r>
      <w:r w:rsidRPr="00610F78">
        <w:rPr>
          <w:rFonts w:ascii="標楷體" w:eastAsia="標楷體" w:hAnsi="標楷體" w:cs="新細明體" w:hint="eastAsia"/>
          <w:color w:val="000000"/>
          <w:kern w:val="0"/>
          <w:sz w:val="20"/>
          <w:szCs w:val="20"/>
        </w:rPr>
        <w:t>日北大第</w:t>
      </w:r>
      <w:r w:rsidRPr="00610F78">
        <w:rPr>
          <w:rFonts w:ascii="Times New Roman" w:eastAsia="細明體" w:hAnsi="Times New Roman" w:cs="Times New Roman"/>
          <w:color w:val="000000"/>
          <w:kern w:val="0"/>
          <w:sz w:val="20"/>
          <w:szCs w:val="20"/>
        </w:rPr>
        <w:t>54</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Times New Roman" w:eastAsia="細明體" w:hAnsi="Times New Roman" w:cs="Times New Roman"/>
          <w:color w:val="000000"/>
          <w:kern w:val="0"/>
          <w:sz w:val="20"/>
          <w:szCs w:val="20"/>
        </w:rPr>
        <w:t>94</w:t>
      </w:r>
      <w:r w:rsidRPr="00610F78">
        <w:rPr>
          <w:rFonts w:ascii="標楷體" w:eastAsia="標楷體" w:hAnsi="標楷體" w:cs="新細明體" w:hint="eastAsia"/>
          <w:color w:val="000000"/>
          <w:kern w:val="0"/>
          <w:sz w:val="20"/>
          <w:szCs w:val="20"/>
        </w:rPr>
        <w:t>年</w:t>
      </w:r>
      <w:r w:rsidRPr="00610F78">
        <w:rPr>
          <w:rFonts w:ascii="Times New Roman" w:eastAsia="細明體" w:hAnsi="Times New Roman" w:cs="Times New Roman"/>
          <w:color w:val="000000"/>
          <w:kern w:val="0"/>
          <w:sz w:val="20"/>
          <w:szCs w:val="20"/>
        </w:rPr>
        <w:t>6</w:t>
      </w:r>
      <w:r w:rsidRPr="00610F78">
        <w:rPr>
          <w:rFonts w:ascii="標楷體" w:eastAsia="標楷體" w:hAnsi="標楷體" w:cs="新細明體" w:hint="eastAsia"/>
          <w:color w:val="000000"/>
          <w:kern w:val="0"/>
          <w:sz w:val="20"/>
          <w:szCs w:val="20"/>
        </w:rPr>
        <w:t>月</w:t>
      </w:r>
      <w:r w:rsidRPr="00610F78">
        <w:rPr>
          <w:rFonts w:ascii="Times New Roman" w:eastAsia="細明體" w:hAnsi="Times New Roman" w:cs="Times New Roman"/>
          <w:color w:val="000000"/>
          <w:kern w:val="0"/>
          <w:sz w:val="20"/>
          <w:szCs w:val="20"/>
        </w:rPr>
        <w:t>17</w:t>
      </w:r>
      <w:r w:rsidRPr="00610F78">
        <w:rPr>
          <w:rFonts w:ascii="標楷體" w:eastAsia="標楷體" w:hAnsi="標楷體" w:cs="新細明體" w:hint="eastAsia"/>
          <w:color w:val="000000"/>
          <w:kern w:val="0"/>
          <w:sz w:val="20"/>
          <w:szCs w:val="20"/>
        </w:rPr>
        <w:t>日北大第</w:t>
      </w:r>
      <w:r w:rsidRPr="00610F78">
        <w:rPr>
          <w:rFonts w:ascii="Times New Roman" w:eastAsia="細明體" w:hAnsi="Times New Roman" w:cs="Times New Roman"/>
          <w:color w:val="000000"/>
          <w:kern w:val="0"/>
          <w:sz w:val="20"/>
          <w:szCs w:val="20"/>
        </w:rPr>
        <w:t>65</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全真楷書" w:eastAsia="全真楷書" w:hAnsi="細明體" w:cs="新細明體" w:hint="eastAsia"/>
          <w:color w:val="000000"/>
          <w:kern w:val="0"/>
          <w:sz w:val="20"/>
          <w:szCs w:val="20"/>
        </w:rPr>
        <w:t>96</w:t>
      </w:r>
      <w:r w:rsidRPr="00610F78">
        <w:rPr>
          <w:rFonts w:ascii="標楷體" w:eastAsia="標楷體" w:hAnsi="標楷體" w:cs="新細明體" w:hint="eastAsia"/>
          <w:color w:val="000000"/>
          <w:kern w:val="0"/>
          <w:sz w:val="20"/>
          <w:szCs w:val="20"/>
        </w:rPr>
        <w:t>年</w:t>
      </w:r>
      <w:r w:rsidRPr="00610F78">
        <w:rPr>
          <w:rFonts w:ascii="全真楷書" w:eastAsia="全真楷書" w:hAnsi="細明體" w:cs="新細明體" w:hint="eastAsia"/>
          <w:color w:val="000000"/>
          <w:kern w:val="0"/>
          <w:sz w:val="20"/>
          <w:szCs w:val="20"/>
        </w:rPr>
        <w:t>1</w:t>
      </w:r>
      <w:r w:rsidRPr="00610F78">
        <w:rPr>
          <w:rFonts w:ascii="標楷體" w:eastAsia="標楷體" w:hAnsi="標楷體" w:cs="新細明體" w:hint="eastAsia"/>
          <w:color w:val="000000"/>
          <w:kern w:val="0"/>
          <w:sz w:val="20"/>
          <w:szCs w:val="20"/>
        </w:rPr>
        <w:t>月</w:t>
      </w:r>
      <w:r w:rsidRPr="00610F78">
        <w:rPr>
          <w:rFonts w:ascii="全真楷書" w:eastAsia="全真楷書" w:hAnsi="細明體" w:cs="新細明體" w:hint="eastAsia"/>
          <w:color w:val="000000"/>
          <w:kern w:val="0"/>
          <w:sz w:val="20"/>
          <w:szCs w:val="20"/>
        </w:rPr>
        <w:t>9</w:t>
      </w:r>
      <w:r w:rsidRPr="00610F78">
        <w:rPr>
          <w:rFonts w:ascii="標楷體" w:eastAsia="標楷體" w:hAnsi="標楷體" w:cs="新細明體" w:hint="eastAsia"/>
          <w:color w:val="000000"/>
          <w:kern w:val="0"/>
          <w:sz w:val="20"/>
          <w:szCs w:val="20"/>
        </w:rPr>
        <w:t>日北大第</w:t>
      </w:r>
      <w:r w:rsidRPr="00610F78">
        <w:rPr>
          <w:rFonts w:ascii="全真楷書" w:eastAsia="全真楷書" w:hAnsi="細明體" w:cs="新細明體" w:hint="eastAsia"/>
          <w:color w:val="000000"/>
          <w:kern w:val="0"/>
          <w:sz w:val="20"/>
          <w:szCs w:val="20"/>
        </w:rPr>
        <w:t>81</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標楷體" w:eastAsia="標楷體" w:hAnsi="標楷體" w:cs="新細明體" w:hint="eastAsia"/>
          <w:color w:val="000000"/>
          <w:kern w:val="0"/>
          <w:sz w:val="20"/>
          <w:szCs w:val="20"/>
        </w:rPr>
        <w:t>民國</w:t>
      </w:r>
      <w:r w:rsidRPr="00610F78">
        <w:rPr>
          <w:rFonts w:ascii="全真楷書" w:eastAsia="全真楷書" w:hAnsi="細明體" w:cs="新細明體" w:hint="eastAsia"/>
          <w:color w:val="000000"/>
          <w:kern w:val="0"/>
          <w:sz w:val="20"/>
          <w:szCs w:val="20"/>
        </w:rPr>
        <w:t>96</w:t>
      </w:r>
      <w:r w:rsidRPr="00610F78">
        <w:rPr>
          <w:rFonts w:ascii="標楷體" w:eastAsia="標楷體" w:hAnsi="標楷體" w:cs="新細明體" w:hint="eastAsia"/>
          <w:color w:val="000000"/>
          <w:kern w:val="0"/>
          <w:sz w:val="20"/>
          <w:szCs w:val="20"/>
        </w:rPr>
        <w:t>年</w:t>
      </w:r>
      <w:r w:rsidRPr="00610F78">
        <w:rPr>
          <w:rFonts w:ascii="全真楷書" w:eastAsia="全真楷書" w:hAnsi="細明體" w:cs="新細明體" w:hint="eastAsia"/>
          <w:color w:val="000000"/>
          <w:kern w:val="0"/>
          <w:sz w:val="20"/>
          <w:szCs w:val="20"/>
        </w:rPr>
        <w:t>6</w:t>
      </w:r>
      <w:r w:rsidRPr="00610F78">
        <w:rPr>
          <w:rFonts w:ascii="標楷體" w:eastAsia="標楷體" w:hAnsi="標楷體" w:cs="新細明體" w:hint="eastAsia"/>
          <w:color w:val="000000"/>
          <w:kern w:val="0"/>
          <w:sz w:val="20"/>
          <w:szCs w:val="20"/>
        </w:rPr>
        <w:t>月</w:t>
      </w:r>
      <w:r w:rsidRPr="00610F78">
        <w:rPr>
          <w:rFonts w:ascii="全真楷書" w:eastAsia="全真楷書" w:hAnsi="細明體" w:cs="新細明體" w:hint="eastAsia"/>
          <w:color w:val="000000"/>
          <w:kern w:val="0"/>
          <w:sz w:val="20"/>
          <w:szCs w:val="20"/>
        </w:rPr>
        <w:t>5</w:t>
      </w:r>
      <w:r w:rsidRPr="00610F78">
        <w:rPr>
          <w:rFonts w:ascii="標楷體" w:eastAsia="標楷體" w:hAnsi="標楷體" w:cs="新細明體" w:hint="eastAsia"/>
          <w:color w:val="000000"/>
          <w:kern w:val="0"/>
          <w:sz w:val="20"/>
          <w:szCs w:val="20"/>
        </w:rPr>
        <w:t>日北大第</w:t>
      </w:r>
      <w:r w:rsidRPr="00610F78">
        <w:rPr>
          <w:rFonts w:ascii="全真楷書" w:eastAsia="全真楷書" w:hAnsi="細明體" w:cs="新細明體" w:hint="eastAsia"/>
          <w:color w:val="000000"/>
          <w:kern w:val="0"/>
          <w:sz w:val="20"/>
          <w:szCs w:val="20"/>
        </w:rPr>
        <w:t>86</w:t>
      </w:r>
      <w:r w:rsidRPr="00610F78">
        <w:rPr>
          <w:rFonts w:ascii="標楷體" w:eastAsia="標楷體" w:hAnsi="標楷體" w:cs="新細明體" w:hint="eastAsia"/>
          <w:color w:val="000000"/>
          <w:kern w:val="0"/>
          <w:sz w:val="20"/>
          <w:szCs w:val="20"/>
        </w:rPr>
        <w:t>次所務會議修正通過</w:t>
      </w:r>
    </w:p>
    <w:p w:rsidR="00610F78" w:rsidRPr="00610F78" w:rsidRDefault="00610F78" w:rsidP="00610F78">
      <w:pPr>
        <w:widowControl/>
        <w:ind w:hanging="567"/>
        <w:jc w:val="right"/>
        <w:textAlignment w:val="bottom"/>
        <w:rPr>
          <w:rFonts w:ascii="細明體" w:eastAsia="細明體" w:hAnsi="細明體" w:cs="新細明體" w:hint="eastAsia"/>
          <w:color w:val="000000"/>
          <w:kern w:val="0"/>
          <w:sz w:val="27"/>
          <w:szCs w:val="27"/>
        </w:rPr>
      </w:pPr>
      <w:r w:rsidRPr="00610F78">
        <w:rPr>
          <w:rFonts w:ascii="細明體" w:eastAsia="細明體" w:hAnsi="細明體" w:cs="新細明體" w:hint="eastAsia"/>
          <w:color w:val="000000"/>
          <w:kern w:val="0"/>
          <w:sz w:val="27"/>
          <w:szCs w:val="27"/>
        </w:rPr>
        <w:t xml:space="preserve">　</w:t>
      </w:r>
    </w:p>
    <w:p w:rsidR="00610F78" w:rsidRPr="00610F78" w:rsidRDefault="00610F78" w:rsidP="00610F78">
      <w:pPr>
        <w:widowControl/>
        <w:spacing w:before="100" w:beforeAutospacing="1" w:after="100" w:afterAutospacing="1"/>
        <w:ind w:left="567" w:hanging="567"/>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t>一、國立臺北大學公共事務學院自然資源與環境管理研究所（以下簡稱本所）為協助本所研究生順利完成學業，並提昇論文研究水準，特訂定本辦法。</w:t>
      </w:r>
    </w:p>
    <w:p w:rsidR="00610F78" w:rsidRPr="00610F78" w:rsidRDefault="00610F78" w:rsidP="00610F78">
      <w:pPr>
        <w:widowControl/>
        <w:spacing w:before="100" w:beforeAutospacing="1" w:after="100" w:afterAutospacing="1"/>
        <w:ind w:left="567" w:hanging="567"/>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t>二、指導教授以本所專、兼任教師為原則，非本所專兼任教師擔任本所學生碩士論文指導教授者，其資格需符合教育部相關規定，同</w:t>
      </w:r>
      <w:r w:rsidRPr="00610F78">
        <w:rPr>
          <w:rFonts w:ascii="標楷體" w:eastAsia="標楷體" w:hAnsi="標楷體" w:cs="新細明體" w:hint="eastAsia"/>
          <w:color w:val="000000"/>
          <w:kern w:val="0"/>
          <w:sz w:val="28"/>
          <w:szCs w:val="28"/>
        </w:rPr>
        <w:lastRenderedPageBreak/>
        <w:t>時需經本所所務會議核可，並應由本所專兼任教師中擇一擔任共同指導教授。</w:t>
      </w:r>
    </w:p>
    <w:p w:rsidR="00610F78" w:rsidRPr="00610F78" w:rsidRDefault="00610F78" w:rsidP="00610F78">
      <w:pPr>
        <w:widowControl/>
        <w:spacing w:before="100" w:beforeAutospacing="1" w:after="100" w:afterAutospacing="1"/>
        <w:ind w:left="567" w:hanging="567"/>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t>三、本所碩士班研究生應於第一學期加退選結束前選定課業導師協助輔導選課，並最遲於達規定修業年限一半前一個月提出論文指導教授名單，提交所務會議核可。學生於確定論文指導教授後，原輔導選課之工作改由論文指導教授擔任。</w:t>
      </w:r>
    </w:p>
    <w:p w:rsidR="00610F78" w:rsidRPr="00610F78" w:rsidRDefault="00610F78" w:rsidP="00610F78">
      <w:pPr>
        <w:widowControl/>
        <w:spacing w:before="100" w:beforeAutospacing="1" w:after="100" w:afterAutospacing="1"/>
        <w:ind w:left="567" w:hanging="567"/>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t>四、本所碩士班研究生應於舉行學位考試日期之六個月前，繳交經由指導教授認可之碩士論文研究計畫書至所辦公室。計畫書得由學生申請提送外審，審查委員由指導教授推薦。計畫書送審相關作業費用由本所業務費支付。</w:t>
      </w:r>
    </w:p>
    <w:p w:rsidR="00610F78" w:rsidRPr="00610F78" w:rsidRDefault="00610F78" w:rsidP="00610F78">
      <w:pPr>
        <w:widowControl/>
        <w:spacing w:before="100" w:beforeAutospacing="1" w:after="100" w:afterAutospacing="1"/>
        <w:ind w:left="567" w:hanging="567"/>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t>五、本所研究生碩士論文之研究內容應於學術期刊、學術研討會、本院或本所之碩士論文初步成果發表會擇一公開發表後始得提出口試申請。</w:t>
      </w:r>
    </w:p>
    <w:p w:rsidR="00610F78" w:rsidRPr="00610F78" w:rsidRDefault="00610F78" w:rsidP="00610F78">
      <w:pPr>
        <w:widowControl/>
        <w:spacing w:before="100" w:beforeAutospacing="1" w:after="100" w:afterAutospacing="1"/>
        <w:ind w:left="567" w:hanging="567"/>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t>六、碩士論文口試委員須於口試前一個月由論文指導教授提出推薦名單，經所長提所務會議核定後聘請之。其中至少應包括一名本所專兼任教師。本所所務會議對於本所專兼任教師擔任口試委員得有建議權。</w:t>
      </w:r>
    </w:p>
    <w:p w:rsidR="00610F78" w:rsidRPr="00610F78" w:rsidRDefault="00610F78" w:rsidP="00610F78">
      <w:pPr>
        <w:widowControl/>
        <w:spacing w:before="100" w:beforeAutospacing="1" w:after="100" w:afterAutospacing="1"/>
        <w:ind w:left="538" w:hanging="538"/>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lastRenderedPageBreak/>
        <w:t>七、本所博士班研究生應於入學一年內擇定論文指導教授，未擇定論文指導教授前由所長商請本所專任教師一名暫任課業導師指導選課事宜，並報請所務會議審核通過。論文指導教授之更換，應獲得原指導教授簽字同意並經所務會議通過後行之。</w:t>
      </w:r>
    </w:p>
    <w:p w:rsidR="00610F78" w:rsidRPr="00610F78" w:rsidRDefault="00610F78" w:rsidP="00610F78">
      <w:pPr>
        <w:widowControl/>
        <w:spacing w:before="100" w:beforeAutospacing="1" w:after="100" w:afterAutospacing="1"/>
        <w:ind w:left="538" w:hanging="538"/>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t>八、博士班研究生於修畢十八學分，得申請博士學位候選人資格考試。資格考試申請應經指導教授認可後提送由本所專任教師所組成之博士班考核委員會審議。</w:t>
      </w:r>
    </w:p>
    <w:p w:rsidR="00610F78" w:rsidRPr="00610F78" w:rsidRDefault="00610F78" w:rsidP="00610F78">
      <w:pPr>
        <w:widowControl/>
        <w:spacing w:before="100" w:beforeAutospacing="1" w:after="100" w:afterAutospacing="1"/>
        <w:ind w:left="567" w:hanging="567"/>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t>九、論文口試原則上訂於每年六月上旬或元月上旬統一舉行。</w:t>
      </w:r>
    </w:p>
    <w:p w:rsidR="00610F78" w:rsidRPr="00610F78" w:rsidRDefault="00610F78" w:rsidP="00610F78">
      <w:pPr>
        <w:widowControl/>
        <w:spacing w:before="100" w:beforeAutospacing="1" w:after="100" w:afterAutospacing="1"/>
        <w:ind w:left="567" w:hanging="567"/>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t>十、如有其他未盡事宜，悉遵照本校相關規定辦理。</w:t>
      </w:r>
    </w:p>
    <w:p w:rsidR="00610F78" w:rsidRPr="00610F78" w:rsidRDefault="00610F78" w:rsidP="00610F78">
      <w:pPr>
        <w:widowControl/>
        <w:spacing w:before="100" w:beforeAutospacing="1" w:after="100" w:afterAutospacing="1"/>
        <w:ind w:left="567" w:hanging="567"/>
        <w:jc w:val="both"/>
        <w:rPr>
          <w:rFonts w:ascii="全真楷書" w:eastAsia="全真楷書" w:hAnsi="新細明體" w:cs="新細明體" w:hint="eastAsia"/>
          <w:color w:val="000000"/>
          <w:kern w:val="0"/>
          <w:sz w:val="28"/>
          <w:szCs w:val="28"/>
        </w:rPr>
      </w:pPr>
      <w:r w:rsidRPr="00610F78">
        <w:rPr>
          <w:rFonts w:ascii="標楷體" w:eastAsia="標楷體" w:hAnsi="標楷體" w:cs="新細明體" w:hint="eastAsia"/>
          <w:color w:val="000000"/>
          <w:kern w:val="0"/>
          <w:sz w:val="28"/>
          <w:szCs w:val="28"/>
        </w:rPr>
        <w:t>十一、本辦法經本所所務會議通過後實施，修訂時亦同。</w:t>
      </w:r>
    </w:p>
    <w:p w:rsidR="00D603D5" w:rsidRDefault="00D603D5">
      <w:bookmarkStart w:id="0" w:name="_GoBack"/>
      <w:bookmarkEnd w:id="0"/>
    </w:p>
    <w:sectPr w:rsidR="00D603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78"/>
    <w:rsid w:val="00610F78"/>
    <w:rsid w:val="00D603D5"/>
    <w:rsid w:val="00DC6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543E9-F316-4967-AD80-5FD19361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10F78"/>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縮排 字元"/>
    <w:basedOn w:val="a0"/>
    <w:link w:val="a3"/>
    <w:uiPriority w:val="99"/>
    <w:semiHidden/>
    <w:rsid w:val="00610F78"/>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1</cp:revision>
  <dcterms:created xsi:type="dcterms:W3CDTF">2017-08-14T12:37:00Z</dcterms:created>
  <dcterms:modified xsi:type="dcterms:W3CDTF">2017-08-14T12:37:00Z</dcterms:modified>
</cp:coreProperties>
</file>