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DC" w:rsidRPr="00D30DDC" w:rsidRDefault="00D30DDC" w:rsidP="00D30DDC">
      <w:pPr>
        <w:widowControl/>
        <w:shd w:val="clear" w:color="auto" w:fill="F2F2F2"/>
        <w:outlineLvl w:val="1"/>
        <w:rPr>
          <w:rFonts w:ascii="Segoe UI" w:eastAsia="新細明體" w:hAnsi="Segoe UI" w:cs="Segoe UI"/>
          <w:color w:val="990000"/>
          <w:kern w:val="0"/>
          <w:sz w:val="36"/>
          <w:szCs w:val="36"/>
        </w:rPr>
      </w:pPr>
      <w:r w:rsidRPr="00D30DDC">
        <w:rPr>
          <w:rFonts w:ascii="Segoe UI" w:eastAsia="新細明體" w:hAnsi="Segoe UI" w:cs="Segoe UI"/>
          <w:color w:val="990000"/>
          <w:kern w:val="0"/>
          <w:sz w:val="36"/>
          <w:szCs w:val="36"/>
        </w:rPr>
        <w:t>國立臺北大學自然資源與環境管理研究所校友會組織章程</w:t>
      </w:r>
    </w:p>
    <w:p w:rsidR="00D30DDC" w:rsidRPr="00D30DDC" w:rsidRDefault="00D30DDC" w:rsidP="00D30DDC">
      <w:pPr>
        <w:widowControl/>
        <w:shd w:val="clear" w:color="auto" w:fill="F2F2F2"/>
        <w:spacing w:before="240" w:after="240"/>
        <w:jc w:val="center"/>
        <w:rPr>
          <w:rFonts w:ascii="Arial" w:eastAsia="新細明體" w:hAnsi="Arial" w:cs="Arial"/>
          <w:color w:val="333333"/>
          <w:kern w:val="0"/>
          <w:sz w:val="18"/>
          <w:szCs w:val="18"/>
        </w:rPr>
      </w:pPr>
      <w:r w:rsidRPr="00D30DDC">
        <w:rPr>
          <w:rFonts w:ascii="Arial" w:eastAsia="新細明體" w:hAnsi="Arial" w:cs="Arial"/>
          <w:b/>
          <w:bCs/>
          <w:color w:val="333333"/>
          <w:kern w:val="0"/>
          <w:sz w:val="18"/>
          <w:szCs w:val="18"/>
        </w:rPr>
        <w:t>國立臺北大學自然資源與環境管理研究所校友會組織章程</w:t>
      </w:r>
      <w:r w:rsidRPr="00D30DDC">
        <w:rPr>
          <w:rFonts w:ascii="Arial" w:eastAsia="新細明體" w:hAnsi="Arial" w:cs="Arial"/>
          <w:b/>
          <w:bCs/>
          <w:color w:val="333333"/>
          <w:kern w:val="0"/>
          <w:sz w:val="18"/>
          <w:szCs w:val="18"/>
        </w:rPr>
        <w:t> </w:t>
      </w:r>
      <w:r w:rsidRPr="00D30DDC">
        <w:rPr>
          <w:rFonts w:ascii="Arial" w:eastAsia="新細明體" w:hAnsi="Arial" w:cs="Arial"/>
          <w:color w:val="333333"/>
          <w:kern w:val="0"/>
          <w:sz w:val="18"/>
          <w:szCs w:val="18"/>
        </w:rPr>
        <w:br/>
        <w:t>2008/12/20</w:t>
      </w:r>
      <w:r w:rsidRPr="00D30DDC">
        <w:rPr>
          <w:rFonts w:ascii="Arial" w:eastAsia="新細明體" w:hAnsi="Arial" w:cs="Arial"/>
          <w:color w:val="333333"/>
          <w:kern w:val="0"/>
          <w:sz w:val="18"/>
          <w:szCs w:val="18"/>
        </w:rPr>
        <w:t>校友會成立大會通過</w:t>
      </w:r>
    </w:p>
    <w:p w:rsidR="00D30DDC" w:rsidRPr="00D30DDC" w:rsidRDefault="00D30DDC" w:rsidP="00D30DDC">
      <w:pPr>
        <w:widowControl/>
        <w:shd w:val="clear" w:color="auto" w:fill="F2F2F2"/>
        <w:spacing w:before="240" w:after="240"/>
        <w:rPr>
          <w:rFonts w:ascii="Arial" w:eastAsia="新細明體" w:hAnsi="Arial" w:cs="Arial"/>
          <w:color w:val="333333"/>
          <w:kern w:val="0"/>
          <w:sz w:val="18"/>
          <w:szCs w:val="18"/>
        </w:rPr>
      </w:pPr>
      <w:r w:rsidRPr="00D30DDC">
        <w:rPr>
          <w:rFonts w:ascii="Arial" w:eastAsia="新細明體" w:hAnsi="Arial" w:cs="Arial"/>
          <w:color w:val="333333"/>
          <w:kern w:val="0"/>
          <w:sz w:val="18"/>
          <w:szCs w:val="18"/>
        </w:rPr>
        <w:t> </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1218"/>
        <w:gridCol w:w="7088"/>
      </w:tblGrid>
      <w:tr w:rsidR="00D30DDC" w:rsidRPr="00D30DDC" w:rsidTr="00D30DDC">
        <w:trPr>
          <w:tblCellSpacing w:w="6" w:type="dxa"/>
        </w:trPr>
        <w:tc>
          <w:tcPr>
            <w:tcW w:w="1200" w:type="dxa"/>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第一章</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總 則</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第一條：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本會定名為國立臺北大學自然資源與環境管理研究所所校友會（以下簡稱本會）。</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前身為國立中興大學自然資源管理研究所校友會，配合學校改制與所名改變，更名為國立臺北大學自然資源與環境管理研究所校友會。國立臺北大學自然資源與環境管理研究所係改制自臺灣省立中興大學自然資源與環境管理研究所，上述名稱雖有更迭，然同屬一脈，以下簡稱為母所。</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第三條：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本會以增進畢業校友彼此間及與母所之聯繫，加強校友凝聚力，並促進校友事業合作、協助發展母所之教學研究工作發展、及促進國家自然資源保育與環境品質提昇為宗旨。</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第四條：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本會會址設於國立臺北大學自然資源與環境管理研究所所內，必要時得於他地設立分會，其組織另定之。</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第五條：</w:t>
            </w:r>
          </w:p>
        </w:tc>
        <w:tc>
          <w:tcPr>
            <w:tcW w:w="0" w:type="auto"/>
            <w:hideMark/>
          </w:tcPr>
          <w:p w:rsidR="00D30DDC" w:rsidRPr="00D30DDC" w:rsidRDefault="00D30DDC" w:rsidP="00D30DDC">
            <w:pPr>
              <w:widowControl/>
              <w:spacing w:before="240" w:after="240"/>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本會之任務為：</w:t>
            </w:r>
          </w:p>
          <w:p w:rsidR="00D30DDC" w:rsidRPr="00D30DDC" w:rsidRDefault="00D30DDC" w:rsidP="00D30DDC">
            <w:pPr>
              <w:widowControl/>
              <w:numPr>
                <w:ilvl w:val="0"/>
                <w:numId w:val="1"/>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促進校友與母所間之交流與合作；</w:t>
            </w:r>
          </w:p>
          <w:p w:rsidR="00D30DDC" w:rsidRPr="00D30DDC" w:rsidRDefault="00D30DDC" w:rsidP="00D30DDC">
            <w:pPr>
              <w:widowControl/>
              <w:numPr>
                <w:ilvl w:val="0"/>
                <w:numId w:val="1"/>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加強校友之間聯繫；</w:t>
            </w:r>
          </w:p>
          <w:p w:rsidR="00D30DDC" w:rsidRPr="00D30DDC" w:rsidRDefault="00D30DDC" w:rsidP="00D30DDC">
            <w:pPr>
              <w:widowControl/>
              <w:numPr>
                <w:ilvl w:val="0"/>
                <w:numId w:val="1"/>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協助母所發展，提昇我國之自然資源保育與環境發展；</w:t>
            </w:r>
          </w:p>
          <w:p w:rsidR="00D30DDC" w:rsidRPr="00D30DDC" w:rsidRDefault="00D30DDC" w:rsidP="00D30DDC">
            <w:pPr>
              <w:widowControl/>
              <w:numPr>
                <w:ilvl w:val="0"/>
                <w:numId w:val="1"/>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其他合於第三條所述宗旨之事項。</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第二章</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會 員</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第六條：</w:t>
            </w:r>
          </w:p>
        </w:tc>
        <w:tc>
          <w:tcPr>
            <w:tcW w:w="0" w:type="auto"/>
            <w:hideMark/>
          </w:tcPr>
          <w:p w:rsidR="00D30DDC" w:rsidRPr="00D30DDC" w:rsidRDefault="00D30DDC" w:rsidP="00D30DDC">
            <w:pPr>
              <w:widowControl/>
              <w:spacing w:before="240" w:after="240"/>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國立中興大學自然資源管理研究所或國立臺北大學自然資源與環境管理研究所碩士班、博士班畢業或肆業者，及曾在母所任職之師長及員工等，皆為本會會員。</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第七條：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本會會員有發言、表決、選舉及被選舉之權利。</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第八條：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本會會員有遵守本會章程、遵從決議與繳納會費之義務。</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第三章</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組 織</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lastRenderedPageBreak/>
              <w:t>第九條：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本會以會員大會為最高權力機構，決定會務指導方針及選舉理監事，在會員大會閉會期間，理事會代行其職權。</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本會設理事九人組織理事會、監事三人、候補理事三人、候補監事一人，任期均為兩年。現任母所之所長為當然理事，其餘理監事由會員中選任之，連選得連任。理監事均為無給職。</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第十一條：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本會理事會設理事長一人，由理事互選之。理事長徵詢理事會同意，由現任理事中聘請常務理事二人。</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第十二條：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本會設常務監事一人，由監事互選之。</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第十三條：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本會理事長、常務理事、常務監事每屆改選，連選得連任，理監事有缺額時，由候補理監事分別順序遞補，以補足其所補人員之任期為限。</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第十四條：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本會得設總幹事一人，副總幹事及幹事若干名，由理事會遴聘之。</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第四章</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職 權</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第十五條：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理事長綜理會務，執行會員大會與理事會之決議，對外代表本會。</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第十六條：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常務理事協助理事長處理會務，理事長不能執行會務時，由常務理事互推一人代理。</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第十七條：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理事會之職權如下：</w:t>
            </w:r>
          </w:p>
          <w:p w:rsidR="00D30DDC" w:rsidRPr="00D30DDC" w:rsidRDefault="00D30DDC" w:rsidP="00D30DDC">
            <w:pPr>
              <w:widowControl/>
              <w:numPr>
                <w:ilvl w:val="0"/>
                <w:numId w:val="2"/>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決議會務方針及重要事項；</w:t>
            </w:r>
          </w:p>
          <w:p w:rsidR="00D30DDC" w:rsidRPr="00D30DDC" w:rsidRDefault="00D30DDC" w:rsidP="00D30DDC">
            <w:pPr>
              <w:widowControl/>
              <w:numPr>
                <w:ilvl w:val="0"/>
                <w:numId w:val="2"/>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討論會員大會決議案之執行；</w:t>
            </w:r>
          </w:p>
          <w:p w:rsidR="00D30DDC" w:rsidRPr="00D30DDC" w:rsidRDefault="00D30DDC" w:rsidP="00D30DDC">
            <w:pPr>
              <w:widowControl/>
              <w:numPr>
                <w:ilvl w:val="0"/>
                <w:numId w:val="2"/>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重要職員之決定；</w:t>
            </w:r>
          </w:p>
          <w:p w:rsidR="00D30DDC" w:rsidRPr="00D30DDC" w:rsidRDefault="00D30DDC" w:rsidP="00D30DDC">
            <w:pPr>
              <w:widowControl/>
              <w:numPr>
                <w:ilvl w:val="0"/>
                <w:numId w:val="2"/>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預算與決算之審議；</w:t>
            </w:r>
          </w:p>
          <w:p w:rsidR="00D30DDC" w:rsidRPr="00D30DDC" w:rsidRDefault="00D30DDC" w:rsidP="00D30DDC">
            <w:pPr>
              <w:widowControl/>
              <w:numPr>
                <w:ilvl w:val="0"/>
                <w:numId w:val="2"/>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其他有關會務事項。</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第十八條：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監事之職權如下：</w:t>
            </w:r>
          </w:p>
          <w:p w:rsidR="00D30DDC" w:rsidRPr="00D30DDC" w:rsidRDefault="00D30DDC" w:rsidP="00D30DDC">
            <w:pPr>
              <w:widowControl/>
              <w:numPr>
                <w:ilvl w:val="0"/>
                <w:numId w:val="3"/>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審查本會預算及決算；</w:t>
            </w:r>
          </w:p>
          <w:p w:rsidR="00D30DDC" w:rsidRPr="00D30DDC" w:rsidRDefault="00D30DDC" w:rsidP="00D30DDC">
            <w:pPr>
              <w:widowControl/>
              <w:numPr>
                <w:ilvl w:val="0"/>
                <w:numId w:val="3"/>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稽核本會經費之收支；</w:t>
            </w:r>
          </w:p>
          <w:p w:rsidR="00D30DDC" w:rsidRPr="00D30DDC" w:rsidRDefault="00D30DDC" w:rsidP="00D30DDC">
            <w:pPr>
              <w:widowControl/>
              <w:numPr>
                <w:ilvl w:val="0"/>
                <w:numId w:val="3"/>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調查處理有關紀律事項；</w:t>
            </w:r>
          </w:p>
          <w:p w:rsidR="00D30DDC" w:rsidRPr="00D30DDC" w:rsidRDefault="00D30DDC" w:rsidP="00D30DDC">
            <w:pPr>
              <w:widowControl/>
              <w:numPr>
                <w:ilvl w:val="0"/>
                <w:numId w:val="3"/>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其他有關監查事項。</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第十九條：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總幹事秉承理事長之指揮，負責推動本會事務。</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第五章</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會 議</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本會會員大會，每年舉行一次，必要時得經理監事會聯席會議之決議，或經會員五分之一以上之聯署請求，召開臨時大會。</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lastRenderedPageBreak/>
              <w:t>第二十一條：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本會會員大會須經出席會員過半數之同意方得決議。</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第二十二條：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本會理監事會每半年召開一次，必要時得召集臨時會議及聯席會議。</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第二十三條：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理事會須有理事過半數之出席方得開會，由出席理事過半數之同意方得決議。</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第二十四條：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本會理、監事之選任、議事之議決，必要時得採通訊方式辦理之。</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第六章</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經 費</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第二十五條：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本會經費來源如下：</w:t>
            </w:r>
          </w:p>
          <w:p w:rsidR="00D30DDC" w:rsidRPr="00D30DDC" w:rsidRDefault="00D30DDC" w:rsidP="00D30DDC">
            <w:pPr>
              <w:widowControl/>
              <w:numPr>
                <w:ilvl w:val="0"/>
                <w:numId w:val="4"/>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會費：會員每年繳納新臺幣五百元。一次繳納新臺幣三千元者得為永久會員，以後不必繳納常年會費。</w:t>
            </w:r>
          </w:p>
          <w:p w:rsidR="00D30DDC" w:rsidRPr="00D30DDC" w:rsidRDefault="00D30DDC" w:rsidP="00D30DDC">
            <w:pPr>
              <w:widowControl/>
              <w:numPr>
                <w:ilvl w:val="0"/>
                <w:numId w:val="4"/>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本會事業之收入。</w:t>
            </w:r>
          </w:p>
          <w:p w:rsidR="00D30DDC" w:rsidRPr="00D30DDC" w:rsidRDefault="00D30DDC" w:rsidP="00D30DDC">
            <w:pPr>
              <w:widowControl/>
              <w:numPr>
                <w:ilvl w:val="0"/>
                <w:numId w:val="4"/>
              </w:numPr>
              <w:spacing w:before="100" w:beforeAutospacing="1" w:after="100" w:afterAutospacing="1" w:line="324" w:lineRule="atLeast"/>
              <w:ind w:left="525"/>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其他補助及捐款。</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第二十六條：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本會經費之支出，金額高於五萬元以上者，需經過半數常務理事通過，其餘由理事長決行。</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第二十七條：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本會經費之預算及決算應每年編製總報告並於會員大會報告。</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第二十八條：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本會解散後，剩餘財產歸屬國立臺北大學自然資源與環境管理研究所。</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 </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第七章</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附 則</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第二十九條：</w:t>
            </w:r>
          </w:p>
        </w:tc>
        <w:tc>
          <w:tcPr>
            <w:tcW w:w="0" w:type="auto"/>
            <w:hideMark/>
          </w:tcPr>
          <w:p w:rsidR="00D30DDC" w:rsidRPr="00D30DDC" w:rsidRDefault="00D30DDC" w:rsidP="00D30DDC">
            <w:pPr>
              <w:widowControl/>
              <w:spacing w:before="240" w:after="240"/>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本章程未規定事項，悉依有關法令規定辦理。</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第三十條：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(原章程第二十九條刪除)。</w:t>
            </w:r>
          </w:p>
        </w:tc>
      </w:tr>
      <w:tr w:rsidR="00D30DDC" w:rsidRPr="00D30DDC" w:rsidTr="00D30DDC">
        <w:trPr>
          <w:tblCellSpacing w:w="6" w:type="dxa"/>
        </w:trPr>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第三十一條：</w:t>
            </w:r>
          </w:p>
        </w:tc>
        <w:tc>
          <w:tcPr>
            <w:tcW w:w="0" w:type="auto"/>
            <w:hideMark/>
          </w:tcPr>
          <w:p w:rsidR="00D30DDC" w:rsidRPr="00D30DDC" w:rsidRDefault="00D30DDC" w:rsidP="00D30DDC">
            <w:pPr>
              <w:widowControl/>
              <w:rPr>
                <w:rFonts w:ascii="新細明體" w:eastAsia="新細明體" w:hAnsi="新細明體" w:cs="新細明體"/>
                <w:kern w:val="0"/>
                <w:sz w:val="18"/>
                <w:szCs w:val="18"/>
              </w:rPr>
            </w:pPr>
            <w:r w:rsidRPr="00D30DDC">
              <w:rPr>
                <w:rFonts w:ascii="新細明體" w:eastAsia="新細明體" w:hAnsi="新細明體" w:cs="新細明體"/>
                <w:kern w:val="0"/>
                <w:sz w:val="18"/>
                <w:szCs w:val="18"/>
              </w:rPr>
              <w:t>本會章程經會員大會通過後施行，變更時亦同。</w:t>
            </w:r>
          </w:p>
        </w:tc>
      </w:tr>
    </w:tbl>
    <w:p w:rsidR="008474B1" w:rsidRDefault="008474B1">
      <w:bookmarkStart w:id="0" w:name="_GoBack"/>
      <w:bookmarkEnd w:id="0"/>
    </w:p>
    <w:sectPr w:rsidR="008474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DA8"/>
    <w:multiLevelType w:val="multilevel"/>
    <w:tmpl w:val="0D56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2322B"/>
    <w:multiLevelType w:val="multilevel"/>
    <w:tmpl w:val="B536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E5C5E"/>
    <w:multiLevelType w:val="multilevel"/>
    <w:tmpl w:val="7838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B96719"/>
    <w:multiLevelType w:val="multilevel"/>
    <w:tmpl w:val="05B8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DC"/>
    <w:rsid w:val="00424B0A"/>
    <w:rsid w:val="008474B1"/>
    <w:rsid w:val="00D30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51CD6-4579-4F1A-9618-BADBD460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paragraph" w:styleId="2">
    <w:name w:val="heading 2"/>
    <w:basedOn w:val="a"/>
    <w:link w:val="20"/>
    <w:uiPriority w:val="9"/>
    <w:qFormat/>
    <w:rsid w:val="00D30DD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30DDC"/>
    <w:rPr>
      <w:rFonts w:ascii="新細明體" w:eastAsia="新細明體" w:hAnsi="新細明體" w:cs="新細明體"/>
      <w:b/>
      <w:bCs/>
      <w:kern w:val="0"/>
      <w:sz w:val="36"/>
      <w:szCs w:val="36"/>
    </w:rPr>
  </w:style>
  <w:style w:type="paragraph" w:styleId="Web">
    <w:name w:val="Normal (Web)"/>
    <w:basedOn w:val="a"/>
    <w:uiPriority w:val="99"/>
    <w:semiHidden/>
    <w:unhideWhenUsed/>
    <w:rsid w:val="00D30DD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3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0928">
      <w:bodyDiv w:val="1"/>
      <w:marLeft w:val="0"/>
      <w:marRight w:val="0"/>
      <w:marTop w:val="0"/>
      <w:marBottom w:val="0"/>
      <w:divBdr>
        <w:top w:val="none" w:sz="0" w:space="0" w:color="auto"/>
        <w:left w:val="none" w:sz="0" w:space="0" w:color="auto"/>
        <w:bottom w:val="none" w:sz="0" w:space="0" w:color="auto"/>
        <w:right w:val="none" w:sz="0" w:space="0" w:color="auto"/>
      </w:divBdr>
      <w:divsChild>
        <w:div w:id="29618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2</cp:revision>
  <dcterms:created xsi:type="dcterms:W3CDTF">2017-08-14T12:43:00Z</dcterms:created>
  <dcterms:modified xsi:type="dcterms:W3CDTF">2017-08-14T12:43:00Z</dcterms:modified>
</cp:coreProperties>
</file>